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F8116" w14:textId="77777777" w:rsidR="00BE3B89" w:rsidRDefault="00BE3B89" w:rsidP="00BE3B89">
      <w:r>
        <w:t>TENNESSEE STATE CONFERENCE FALL MEETING</w:t>
      </w:r>
    </w:p>
    <w:p w14:paraId="6927DB6B" w14:textId="77777777" w:rsidR="00BE3B89" w:rsidRDefault="00BE3B89" w:rsidP="00BE3B89">
      <w:r>
        <w:t>November 12, 2016, Middle Tennessee State University</w:t>
      </w:r>
    </w:p>
    <w:p w14:paraId="39197B14" w14:textId="390AACAA" w:rsidR="00BE3B89" w:rsidRDefault="00BE3B89" w:rsidP="00BE3B89">
      <w:r>
        <w:t xml:space="preserve">In attendance: </w:t>
      </w:r>
      <w:proofErr w:type="spellStart"/>
      <w:r>
        <w:t>Máté</w:t>
      </w:r>
      <w:proofErr w:type="spellEnd"/>
      <w:r>
        <w:t xml:space="preserve"> </w:t>
      </w:r>
      <w:proofErr w:type="spellStart"/>
      <w:r>
        <w:t>Wierdl</w:t>
      </w:r>
      <w:proofErr w:type="spellEnd"/>
      <w:r>
        <w:t xml:space="preserve">, Tammy Ruff, Valerie </w:t>
      </w:r>
      <w:proofErr w:type="spellStart"/>
      <w:r>
        <w:t>Belew</w:t>
      </w:r>
      <w:proofErr w:type="spellEnd"/>
      <w:r>
        <w:t xml:space="preserve">, Yvonne Simerman, Diane Eagle, Alfred Lutz, David Lee, </w:t>
      </w:r>
      <w:proofErr w:type="spellStart"/>
      <w:r>
        <w:t>Pippa</w:t>
      </w:r>
      <w:proofErr w:type="spellEnd"/>
      <w:r>
        <w:t xml:space="preserve"> Holloway, Josie </w:t>
      </w:r>
      <w:proofErr w:type="spellStart"/>
      <w:r>
        <w:t>McQuail</w:t>
      </w:r>
      <w:proofErr w:type="spellEnd"/>
      <w:r>
        <w:t xml:space="preserve">, Dora Estes, </w:t>
      </w:r>
      <w:proofErr w:type="spellStart"/>
      <w:r>
        <w:t>Delphia</w:t>
      </w:r>
      <w:proofErr w:type="spellEnd"/>
      <w:r>
        <w:t xml:space="preserve"> Har</w:t>
      </w:r>
      <w:r w:rsidR="006832AC">
        <w:t xml:space="preserve">ris, Julia </w:t>
      </w:r>
      <w:r>
        <w:t>G</w:t>
      </w:r>
      <w:r w:rsidR="002C4FD8">
        <w:t xml:space="preserve">ruber, Steve </w:t>
      </w:r>
      <w:proofErr w:type="spellStart"/>
      <w:r w:rsidR="002C4FD8">
        <w:t>Murphree</w:t>
      </w:r>
      <w:proofErr w:type="spellEnd"/>
      <w:r w:rsidR="002C4FD8">
        <w:t xml:space="preserve">, Darlene </w:t>
      </w:r>
      <w:proofErr w:type="spellStart"/>
      <w:r w:rsidR="002C4FD8">
        <w:t>P</w:t>
      </w:r>
      <w:r>
        <w:t>anvini</w:t>
      </w:r>
      <w:proofErr w:type="spellEnd"/>
      <w:r>
        <w:t xml:space="preserve">, </w:t>
      </w:r>
      <w:proofErr w:type="spellStart"/>
      <w:r>
        <w:t>Raholonda</w:t>
      </w:r>
      <w:proofErr w:type="spellEnd"/>
      <w:r>
        <w:t xml:space="preserve"> White, Jackie Eller</w:t>
      </w:r>
    </w:p>
    <w:p w14:paraId="219374A0" w14:textId="77777777" w:rsidR="00BE3B89" w:rsidRDefault="00BE3B89" w:rsidP="00BE3B89">
      <w:proofErr w:type="spellStart"/>
      <w:r>
        <w:t>Pippa</w:t>
      </w:r>
      <w:proofErr w:type="spellEnd"/>
      <w:r>
        <w:t xml:space="preserve"> Holloway</w:t>
      </w:r>
      <w:r w:rsidR="0066339A">
        <w:t xml:space="preserve"> (President of AAUP at MTSU)</w:t>
      </w:r>
      <w:r>
        <w:t xml:space="preserve"> welcomed the Conference members.</w:t>
      </w:r>
      <w:r w:rsidR="0066339A">
        <w:t xml:space="preserve"> (10:00 am)</w:t>
      </w:r>
    </w:p>
    <w:p w14:paraId="30EDE71B" w14:textId="77777777" w:rsidR="00BE3B89" w:rsidRDefault="00BE3B89" w:rsidP="00BE3B89">
      <w:r>
        <w:t xml:space="preserve">The minutes from the </w:t>
      </w:r>
      <w:proofErr w:type="gramStart"/>
      <w:r>
        <w:t>Spring</w:t>
      </w:r>
      <w:proofErr w:type="gramEnd"/>
      <w:r>
        <w:t xml:space="preserve">, 2016 </w:t>
      </w:r>
      <w:r w:rsidR="0066339A">
        <w:t xml:space="preserve">meeting </w:t>
      </w:r>
      <w:r>
        <w:t>were read and approved.</w:t>
      </w:r>
    </w:p>
    <w:p w14:paraId="31C7CD80" w14:textId="77777777" w:rsidR="00BE3B89" w:rsidRDefault="00BE3B89" w:rsidP="00BE3B89">
      <w:r>
        <w:t>Discussion of the FOCUS act</w:t>
      </w:r>
      <w:r w:rsidR="00074F69">
        <w:t xml:space="preserve"> (A. Lutz)</w:t>
      </w:r>
      <w:r>
        <w:t xml:space="preserve">: </w:t>
      </w:r>
    </w:p>
    <w:p w14:paraId="59238768" w14:textId="77777777" w:rsidR="00BE3B89" w:rsidRDefault="0066339A" w:rsidP="00BE3B89">
      <w:r>
        <w:t>The boards at each u</w:t>
      </w:r>
      <w:r w:rsidR="00BE3B89">
        <w:t xml:space="preserve">niversity will have immediate decision-making authority </w:t>
      </w:r>
      <w:r>
        <w:t>after they are constructed. This will</w:t>
      </w:r>
      <w:r w:rsidR="00BE3B89">
        <w:t xml:space="preserve"> help speed up the process. TBR will no longer have any authority with universities.</w:t>
      </w:r>
      <w:r w:rsidRPr="0066339A">
        <w:t xml:space="preserve"> </w:t>
      </w:r>
      <w:r>
        <w:t>The president of each university will be responsible for operations at each institution.</w:t>
      </w:r>
    </w:p>
    <w:p w14:paraId="430E8DCD" w14:textId="77777777" w:rsidR="00BE3B89" w:rsidRDefault="00BE3B89" w:rsidP="00BE3B89">
      <w:r>
        <w:t xml:space="preserve">The governing board at each institution will receive instruction about the federal and state laws, policies and culture of higher education. </w:t>
      </w:r>
    </w:p>
    <w:p w14:paraId="2062D654" w14:textId="77777777" w:rsidR="00BE3B89" w:rsidRDefault="00BE3B89" w:rsidP="00BE3B89">
      <w:r>
        <w:t>Tenure and promotion process at universities will be finalized on the campus between the president and the governing board of each institution.</w:t>
      </w:r>
    </w:p>
    <w:p w14:paraId="0AC51ABA" w14:textId="77777777" w:rsidR="00BE3B89" w:rsidRDefault="00BE3B89" w:rsidP="00BE3B89">
      <w:r>
        <w:t xml:space="preserve">The status of faculty representation on the governing boards </w:t>
      </w:r>
      <w:r w:rsidR="00074F69">
        <w:t>was a concern during the discussion.</w:t>
      </w:r>
    </w:p>
    <w:p w14:paraId="469F0C9D" w14:textId="77777777" w:rsidR="00074F69" w:rsidRDefault="00074F69" w:rsidP="00BE3B89">
      <w:r>
        <w:t xml:space="preserve">University of Memphis </w:t>
      </w:r>
      <w:r w:rsidR="006832AC">
        <w:t>Financial U</w:t>
      </w:r>
      <w:r>
        <w:t xml:space="preserve">pdate (M. </w:t>
      </w:r>
      <w:proofErr w:type="spellStart"/>
      <w:r>
        <w:t>Wierdl</w:t>
      </w:r>
      <w:proofErr w:type="spellEnd"/>
      <w:r>
        <w:t>):</w:t>
      </w:r>
    </w:p>
    <w:p w14:paraId="5EB3C1F8" w14:textId="77777777" w:rsidR="00074F69" w:rsidRDefault="00074F69" w:rsidP="00BE3B89">
      <w:r>
        <w:t xml:space="preserve">A study of the contracts that the University </w:t>
      </w:r>
      <w:r w:rsidR="0066339A">
        <w:t xml:space="preserve">of Memphis </w:t>
      </w:r>
      <w:r>
        <w:t>made with private firms raises questions about future conflicts of interest between board m</w:t>
      </w:r>
      <w:r w:rsidR="0066339A">
        <w:t>embers and university contractors.</w:t>
      </w:r>
    </w:p>
    <w:p w14:paraId="31252641" w14:textId="77777777" w:rsidR="00074F69" w:rsidRDefault="00074F69" w:rsidP="00BE3B89">
      <w:r>
        <w:t>Report on TTU budget</w:t>
      </w:r>
      <w:r w:rsidR="006832AC">
        <w:t xml:space="preserve"> (</w:t>
      </w:r>
      <w:proofErr w:type="spellStart"/>
      <w:r w:rsidR="006832AC">
        <w:t>McQuail</w:t>
      </w:r>
      <w:proofErr w:type="spellEnd"/>
      <w:r w:rsidR="006832AC">
        <w:t>)</w:t>
      </w:r>
      <w:r>
        <w:t>:</w:t>
      </w:r>
    </w:p>
    <w:p w14:paraId="79395950" w14:textId="77777777" w:rsidR="00074F69" w:rsidRDefault="00074F69" w:rsidP="00BE3B89">
      <w:r>
        <w:t>The budget deficit reached $2.5 million plus an additional loss of $1 million due to loss of international students. Causes include the increase in number of VPs from 3 to 17 in 3 years. Many voiced the concern that Tennessee universities are developing a pattern of hiring more administrators at high pay.</w:t>
      </w:r>
    </w:p>
    <w:p w14:paraId="282439C4" w14:textId="77777777" w:rsidR="00074F69" w:rsidRDefault="009F5C80" w:rsidP="00BE3B89">
      <w:r>
        <w:t>Report about</w:t>
      </w:r>
      <w:r w:rsidR="00074F69">
        <w:t xml:space="preserve"> NSCC (V. </w:t>
      </w:r>
      <w:proofErr w:type="spellStart"/>
      <w:r w:rsidR="00074F69">
        <w:t>Belew</w:t>
      </w:r>
      <w:proofErr w:type="spellEnd"/>
      <w:r w:rsidR="00074F69">
        <w:t>):</w:t>
      </w:r>
    </w:p>
    <w:p w14:paraId="10C8D6AB" w14:textId="77777777" w:rsidR="009F5C80" w:rsidRDefault="009F5C80" w:rsidP="00BE3B89">
      <w:r>
        <w:t>The administrators at NSCC have restricted the chapter of AAUP from using the campus facilities and email systems to conduct business for AAUP. The decision is based on a clause in the acceptable use policy, which restricts use of state property for “external organizations”. When asked, the administration argued that AAUP is an external organization because it has no direct business at the college.</w:t>
      </w:r>
    </w:p>
    <w:p w14:paraId="03E01606" w14:textId="77777777" w:rsidR="009F5C80" w:rsidRDefault="009F5C80" w:rsidP="00BE3B89">
      <w:r>
        <w:t>Two faculty members were threatened with the loss of employment for violating the acceptable use policy.</w:t>
      </w:r>
    </w:p>
    <w:p w14:paraId="46B984A0" w14:textId="2677157D" w:rsidR="009F5C80" w:rsidRDefault="009F5C80" w:rsidP="00BE3B89">
      <w:r>
        <w:lastRenderedPageBreak/>
        <w:t>A Dean asked several faculty members to falsify data for a report t</w:t>
      </w:r>
      <w:r w:rsidR="002C4FD8">
        <w:t>o SACSCOCS. She was reprimanded by the administration.</w:t>
      </w:r>
    </w:p>
    <w:p w14:paraId="5621BA8D" w14:textId="77777777" w:rsidR="009F5C80" w:rsidRDefault="009F5C80" w:rsidP="00BE3B89">
      <w:r>
        <w:t>The COHRE assessment was completed on November 4. The Chancellor will receive the report and decide what changes, if any, to implement.</w:t>
      </w:r>
    </w:p>
    <w:p w14:paraId="66FE978D" w14:textId="77777777" w:rsidR="009F5C80" w:rsidRDefault="009F5C80" w:rsidP="00BE3B89">
      <w:r>
        <w:t xml:space="preserve">Ms. </w:t>
      </w:r>
      <w:proofErr w:type="spellStart"/>
      <w:r>
        <w:t>Belew</w:t>
      </w:r>
      <w:proofErr w:type="spellEnd"/>
      <w:r>
        <w:t xml:space="preserve"> requested a letter of support from the State Conference of AAUP in which the Conference voices concerns about issues of shared governance, academic freedom, acceptable use policy and intimidation at NSCC.</w:t>
      </w:r>
    </w:p>
    <w:p w14:paraId="5008DE61" w14:textId="77777777" w:rsidR="009F5C80" w:rsidRDefault="009F5C80" w:rsidP="00BE3B89">
      <w:r>
        <w:t xml:space="preserve">Motion </w:t>
      </w:r>
      <w:r w:rsidR="00D15EFE">
        <w:t xml:space="preserve">made </w:t>
      </w:r>
      <w:r>
        <w:t>for the Executive Committe</w:t>
      </w:r>
      <w:r w:rsidR="00D15EFE">
        <w:t>e to write a letter of support, unanimous vote in favor.</w:t>
      </w:r>
    </w:p>
    <w:p w14:paraId="7F480720" w14:textId="77777777" w:rsidR="00D15EFE" w:rsidRDefault="00D15EFE" w:rsidP="00BE3B89">
      <w:r>
        <w:t xml:space="preserve">Report on Private Colleges and Universities (Belmont and </w:t>
      </w:r>
      <w:proofErr w:type="spellStart"/>
      <w:r>
        <w:t>LeMoyne</w:t>
      </w:r>
      <w:proofErr w:type="spellEnd"/>
      <w:r>
        <w:t>):</w:t>
      </w:r>
    </w:p>
    <w:p w14:paraId="0946594E" w14:textId="77777777" w:rsidR="00D15EFE" w:rsidRDefault="00D15EFE" w:rsidP="00BE3B89">
      <w:r>
        <w:t>Increased hiring of administrators with no increase in full-time faculty hiring. More part-time and adjunct lecturers are being hired.</w:t>
      </w:r>
    </w:p>
    <w:p w14:paraId="6ADCB06B" w14:textId="77777777" w:rsidR="00D15EFE" w:rsidRDefault="00D15EFE" w:rsidP="00BE3B89">
      <w:r>
        <w:t>Belmont is a new chapter of AAUP and the Provost is concerned about the chapter presence on campus.</w:t>
      </w:r>
    </w:p>
    <w:p w14:paraId="2F68E3B8" w14:textId="77777777" w:rsidR="00D15EFE" w:rsidRDefault="00D15EFE" w:rsidP="00BE3B89">
      <w:r>
        <w:t>Report on Conference Development Grant</w:t>
      </w:r>
      <w:r w:rsidR="006832AC">
        <w:t xml:space="preserve"> (</w:t>
      </w:r>
      <w:proofErr w:type="spellStart"/>
      <w:r w:rsidR="006832AC">
        <w:t>McQuail</w:t>
      </w:r>
      <w:proofErr w:type="spellEnd"/>
      <w:r w:rsidR="006832AC">
        <w:t>)</w:t>
      </w:r>
      <w:r>
        <w:t>:</w:t>
      </w:r>
    </w:p>
    <w:p w14:paraId="65F4E494" w14:textId="77777777" w:rsidR="00D15EFE" w:rsidRDefault="00D15EFE" w:rsidP="00BE3B89">
      <w:r>
        <w:t>The State Conference received a grant to revitalize the AAUP website. The website has been redesigned and is up and running.</w:t>
      </w:r>
    </w:p>
    <w:p w14:paraId="7EF200B1" w14:textId="77777777" w:rsidR="00D15EFE" w:rsidRDefault="00D15EFE" w:rsidP="00BE3B89">
      <w:proofErr w:type="gramStart"/>
      <w:r>
        <w:t xml:space="preserve">Discussion about a proposal and possible uses of funds for </w:t>
      </w:r>
      <w:r w:rsidR="006832AC">
        <w:t>grant application that is due this year</w:t>
      </w:r>
      <w:r>
        <w:t>.</w:t>
      </w:r>
      <w:proofErr w:type="gramEnd"/>
      <w:r>
        <w:t xml:space="preserve"> The problems of free speech and issues with the Office of Diversity at UTK may be cause to request a speaker from FIRE.</w:t>
      </w:r>
    </w:p>
    <w:p w14:paraId="25117AF7" w14:textId="77777777" w:rsidR="00D15EFE" w:rsidRDefault="00D15EFE" w:rsidP="00BE3B89">
      <w:r>
        <w:t>Report on AAUP Foundation (D. Lee):</w:t>
      </w:r>
    </w:p>
    <w:p w14:paraId="2AA72887" w14:textId="77777777" w:rsidR="00AC177D" w:rsidRDefault="00D15EFE" w:rsidP="00BE3B89">
      <w:r>
        <w:t xml:space="preserve">Robert Glenn established the Foundation fund in 1995 to </w:t>
      </w:r>
      <w:r w:rsidR="0066339A">
        <w:t>support</w:t>
      </w:r>
      <w:r>
        <w:t xml:space="preserve"> legal consultations </w:t>
      </w:r>
      <w:r w:rsidR="0066339A">
        <w:t xml:space="preserve">when needed to </w:t>
      </w:r>
      <w:r w:rsidR="00AC177D">
        <w:t>defend free speech on campus. It was established as a 501(c)(3) and donations to it are tax deductible. No tax returns have been filed since 1998 and by-laws, tax identification number have been found. Currently, the fund includes $2,500. This fund can be adopted and maintained by the State Conference or cashed and donated to the Tennessee State Conference. Discuss</w:t>
      </w:r>
      <w:r w:rsidR="006832AC">
        <w:t>ion</w:t>
      </w:r>
      <w:r w:rsidR="00AC177D">
        <w:t xml:space="preserve"> continued in the Executive Committee meeting.</w:t>
      </w:r>
    </w:p>
    <w:p w14:paraId="69CA91DE" w14:textId="77777777" w:rsidR="00AC177D" w:rsidRDefault="00AC177D" w:rsidP="00BE3B89">
      <w:r>
        <w:t>Report on Lecturer Positions and Tenure (</w:t>
      </w:r>
      <w:proofErr w:type="spellStart"/>
      <w:r>
        <w:t>McQuail</w:t>
      </w:r>
      <w:proofErr w:type="spellEnd"/>
      <w:r>
        <w:t>):</w:t>
      </w:r>
    </w:p>
    <w:p w14:paraId="1B4ACEC9" w14:textId="77777777" w:rsidR="00AC177D" w:rsidRDefault="00AC177D" w:rsidP="00BE3B89">
      <w:r>
        <w:t>Universities are hiring more lecturers instead of full-time professors on tenure track. Department chairs are assigning votes to faculty</w:t>
      </w:r>
      <w:r w:rsidR="006832AC">
        <w:t xml:space="preserve"> </w:t>
      </w:r>
      <w:proofErr w:type="gramStart"/>
      <w:r w:rsidR="006832AC">
        <w:t>members</w:t>
      </w:r>
      <w:proofErr w:type="gramEnd"/>
      <w:r>
        <w:t xml:space="preserve"> as </w:t>
      </w:r>
      <w:r w:rsidR="006832AC">
        <w:t>the chairs</w:t>
      </w:r>
      <w:r>
        <w:t xml:space="preserve"> prefer</w:t>
      </w:r>
      <w:r w:rsidR="006832AC">
        <w:t>. This trend has produced a conflict between the desire to improve the pay and benefits for lecturer positions while simultaneously supporting the system of tenure.</w:t>
      </w:r>
    </w:p>
    <w:p w14:paraId="1FEBC665" w14:textId="77777777" w:rsidR="006832AC" w:rsidRDefault="006832AC" w:rsidP="00BE3B89">
      <w:r>
        <w:t>Report on Outsourcing by the State (</w:t>
      </w:r>
      <w:proofErr w:type="spellStart"/>
      <w:r>
        <w:t>McQuail</w:t>
      </w:r>
      <w:proofErr w:type="spellEnd"/>
      <w:r>
        <w:t>):</w:t>
      </w:r>
    </w:p>
    <w:p w14:paraId="3326CE35" w14:textId="2075EED8" w:rsidR="006832AC" w:rsidRDefault="006832AC" w:rsidP="00BE3B89">
      <w:r>
        <w:t xml:space="preserve">The </w:t>
      </w:r>
      <w:r w:rsidR="00ED6A3B">
        <w:t xml:space="preserve">State of </w:t>
      </w:r>
      <w:r>
        <w:t xml:space="preserve">Tennessee </w:t>
      </w:r>
      <w:bookmarkStart w:id="0" w:name="_GoBack"/>
      <w:bookmarkEnd w:id="0"/>
      <w:r>
        <w:t>has elected to save funds by outsourcing many jobs on campus: custodial, grounds keeping, IT, safety and security. AAUP questions the savings accumulated and the quality of work accomplished with this effort.</w:t>
      </w:r>
    </w:p>
    <w:p w14:paraId="72C1A5F6" w14:textId="77777777" w:rsidR="00E15279" w:rsidRDefault="00E15279">
      <w:r>
        <w:t>Meeting adjourned at 12:15 pm.</w:t>
      </w:r>
    </w:p>
    <w:sectPr w:rsidR="00E15279" w:rsidSect="00B156A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pperplate Gothic Bold">
    <w:panose1 w:val="020E07050202060204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B89"/>
    <w:rsid w:val="00074F69"/>
    <w:rsid w:val="002C4FD8"/>
    <w:rsid w:val="00640FD5"/>
    <w:rsid w:val="0066339A"/>
    <w:rsid w:val="006832AC"/>
    <w:rsid w:val="007F1250"/>
    <w:rsid w:val="009F5C80"/>
    <w:rsid w:val="00AC177D"/>
    <w:rsid w:val="00B156A9"/>
    <w:rsid w:val="00BE3B89"/>
    <w:rsid w:val="00D15EFE"/>
    <w:rsid w:val="00E15279"/>
    <w:rsid w:val="00ED6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93A3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B89"/>
    <w:pPr>
      <w:spacing w:after="160" w:line="259" w:lineRule="auto"/>
    </w:pPr>
    <w:rPr>
      <w:rFonts w:eastAsiaTheme="minorHAnsi"/>
      <w:sz w:val="22"/>
      <w:szCs w:val="22"/>
    </w:rPr>
  </w:style>
  <w:style w:type="paragraph" w:styleId="Heading2">
    <w:name w:val="heading 2"/>
    <w:basedOn w:val="Normal"/>
    <w:next w:val="Normal"/>
    <w:link w:val="Heading2Char"/>
    <w:uiPriority w:val="9"/>
    <w:unhideWhenUsed/>
    <w:qFormat/>
    <w:rsid w:val="00640FD5"/>
    <w:pPr>
      <w:keepNext/>
      <w:keepLines/>
      <w:pBdr>
        <w:top w:val="single" w:sz="4" w:space="1" w:color="auto"/>
      </w:pBdr>
      <w:spacing w:before="200" w:after="0" w:line="276" w:lineRule="auto"/>
      <w:outlineLvl w:val="1"/>
    </w:pPr>
    <w:rPr>
      <w:rFonts w:ascii="Copperplate Gothic Bold" w:eastAsiaTheme="majorEastAsia" w:hAnsi="Copperplate Gothic Bold" w:cstheme="majorBidi"/>
      <w:b/>
      <w:bCs/>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0FD5"/>
    <w:rPr>
      <w:rFonts w:ascii="Copperplate Gothic Bold" w:eastAsiaTheme="majorEastAsia" w:hAnsi="Copperplate Gothic Bold" w:cstheme="majorBidi"/>
      <w:b/>
      <w:bCs/>
      <w:color w:val="31849B" w:themeColor="accent5" w:themeShade="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B89"/>
    <w:pPr>
      <w:spacing w:after="160" w:line="259" w:lineRule="auto"/>
    </w:pPr>
    <w:rPr>
      <w:rFonts w:eastAsiaTheme="minorHAnsi"/>
      <w:sz w:val="22"/>
      <w:szCs w:val="22"/>
    </w:rPr>
  </w:style>
  <w:style w:type="paragraph" w:styleId="Heading2">
    <w:name w:val="heading 2"/>
    <w:basedOn w:val="Normal"/>
    <w:next w:val="Normal"/>
    <w:link w:val="Heading2Char"/>
    <w:uiPriority w:val="9"/>
    <w:unhideWhenUsed/>
    <w:qFormat/>
    <w:rsid w:val="00640FD5"/>
    <w:pPr>
      <w:keepNext/>
      <w:keepLines/>
      <w:pBdr>
        <w:top w:val="single" w:sz="4" w:space="1" w:color="auto"/>
      </w:pBdr>
      <w:spacing w:before="200" w:after="0" w:line="276" w:lineRule="auto"/>
      <w:outlineLvl w:val="1"/>
    </w:pPr>
    <w:rPr>
      <w:rFonts w:ascii="Copperplate Gothic Bold" w:eastAsiaTheme="majorEastAsia" w:hAnsi="Copperplate Gothic Bold" w:cstheme="majorBidi"/>
      <w:b/>
      <w:bCs/>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0FD5"/>
    <w:rPr>
      <w:rFonts w:ascii="Copperplate Gothic Bold" w:eastAsiaTheme="majorEastAsia" w:hAnsi="Copperplate Gothic Bold" w:cstheme="majorBidi"/>
      <w:b/>
      <w:bCs/>
      <w:color w:val="31849B" w:themeColor="accent5"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719</Words>
  <Characters>4100</Characters>
  <Application>Microsoft Macintosh Word</Application>
  <DocSecurity>0</DocSecurity>
  <Lines>34</Lines>
  <Paragraphs>9</Paragraphs>
  <ScaleCrop>false</ScaleCrop>
  <Company>NSCC</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Simerman</dc:creator>
  <cp:keywords/>
  <dc:description/>
  <cp:lastModifiedBy>Yvonne Simerman</cp:lastModifiedBy>
  <cp:revision>4</cp:revision>
  <dcterms:created xsi:type="dcterms:W3CDTF">2017-04-04T00:28:00Z</dcterms:created>
  <dcterms:modified xsi:type="dcterms:W3CDTF">2017-04-21T01:16:00Z</dcterms:modified>
</cp:coreProperties>
</file>